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769</w:t>
      </w:r>
      <w:r>
        <w:rPr>
          <w:rFonts w:ascii="Times New Roman" w:eastAsia="Times New Roman" w:hAnsi="Times New Roman" w:cs="Times New Roman"/>
          <w:sz w:val="22"/>
          <w:szCs w:val="22"/>
        </w:rPr>
        <w:t>-2003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округа – Югры 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Рещиков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Васильевич</w:t>
      </w:r>
      <w:r>
        <w:rPr>
          <w:rFonts w:ascii="Times New Roman" w:eastAsia="Times New Roman" w:hAnsi="Times New Roman" w:cs="Times New Roman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являющегося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«Специализированый застройщик «Инвест 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tabs>
          <w:tab w:val="left" w:pos="567"/>
        </w:tabs>
        <w:spacing w:before="0" w:after="6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Рещиков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«Специализированый застройщик «Инвест 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требований ст. 29.13 Кодекса РФ об административных правонарушениях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09.05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Межрайонную ИФНС 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информацию о принятых мерах, об устранении причин и условий, способствующих совершению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 по постановлению от 19.03.2024.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Рещиков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Рещикова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Рещикова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20.06.2024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Рещиков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09.05.2024 не представил в Межрайонную ИФНС России № 7 по Ханты-Мансийскому автономному округу – Югре информацию о принятых мерах, об устранении причин и условий, способствующих совершению административного правонарушения по постановлению от 19.03.2024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отправлений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извещением о времени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уведомления о времени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отправлений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19.03.2024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устранении причин и условий, способствующих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«Специализированый застройщик «Инвест </w:t>
      </w:r>
      <w:r>
        <w:rPr>
          <w:rFonts w:ascii="Times New Roman" w:eastAsia="Times New Roman" w:hAnsi="Times New Roman" w:cs="Times New Roman"/>
          <w:sz w:val="26"/>
          <w:szCs w:val="26"/>
        </w:rPr>
        <w:t>Строй» Рещикова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обязан принять меры по устранению и недопущению в дальнейшем причин административного правонарушения и условий, способствующих его совершению, а именно, </w:t>
      </w:r>
      <w:r>
        <w:rPr>
          <w:rFonts w:ascii="Times New Roman" w:eastAsia="Times New Roman" w:hAnsi="Times New Roman" w:cs="Times New Roman"/>
          <w:sz w:val="26"/>
          <w:szCs w:val="26"/>
        </w:rPr>
        <w:t>погасить задолженность по обязательным платежам по требованию об уплате налога, сбора, пени и штрафа от 17.06.2023 № 2031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Информацию о принятых мерах представить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Межрайонную ИФНС России № 10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>, в течение месяца со дня получения представления;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 от 19.03.2024;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 о направлении копией представления;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отправлений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ЕГРЮЛ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29.13 КоАП РФ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>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Представление об устранении причин и условий, способствовавших совершению административных правонарушений, выносится в соответствии с КоАП РФ и является способом реагирования органа, рассматривающего административное дело, на неправомерные действия (бездействие) лица, привлекаемого к административной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Срок, в течение которого должны быть приняты меры по устранению причин и условий, способствовавших совершению административного правонарушения, и направлено соответствующее сообщение в орган, должностному лицу, внесшему представление, прямо предусмотрен ч. 2 ст. 29.13 КоАП РФ и составляет один месяц со дня получения представления.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Рещиков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14.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АП, и назначено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представлении об устранении причин и условий, способствовавших совершению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19.03.2024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государственным налоговым инспектором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изложено 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Рещикову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принятии мер по устранению причин и недопущения в дальнейшем причин административного правонарушения и условий, способствующих его совершению,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погасить задолженность по обязательным платежам по требованию об уплате налога, сбора, пени и штрафа от 17.06.2023 № 2031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Информацию о принятых мерах представить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Межрайонную ИФНС России № 10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6"/>
          <w:szCs w:val="26"/>
        </w:rPr>
        <w:t>, в течение месяца со дня получения 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данного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считается врученной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Рещиков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06.04.2024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Рещикова Ю.В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статье 19.6 Кодекса Российской Федерации об административных правонарушениях, непринятие по постановлению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4.2, 4.3 Кодекса Российской Федерации об административных правонарушениях,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«Специализированый застройщик «Инвест Строй»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Рещикова Юрия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72011601193019000140, ОКТМО: 71874000, УИН: 0412365400395007692419164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</w:pPr>
    </w:p>
    <w:p>
      <w:pPr>
        <w:spacing w:before="0" w:after="0"/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5rplc-6">
    <w:name w:val="cat-ExternalSystemDefined grp-45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UserDefinedgrp-49rplc-24">
    <w:name w:val="cat-UserDefined grp-49 rplc-24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